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8760B" w:rsidRDefault="00797872">
      <w:pPr>
        <w:pStyle w:val="Heading3"/>
        <w:keepNext w:val="0"/>
        <w:keepLines w:val="0"/>
        <w:contextualSpacing w:val="0"/>
        <w:jc w:val="center"/>
      </w:pPr>
      <w:bookmarkStart w:id="0" w:name="h.7eamb01yasn1" w:colFirst="0" w:colLast="0"/>
      <w:bookmarkStart w:id="1" w:name="_GoBack"/>
      <w:bookmarkEnd w:id="0"/>
      <w:bookmarkEnd w:id="1"/>
      <w:r>
        <w:rPr>
          <w:rFonts w:ascii="Arial" w:eastAsia="Arial" w:hAnsi="Arial" w:cs="Arial"/>
          <w:sz w:val="36"/>
          <w:szCs w:val="36"/>
        </w:rPr>
        <w:t xml:space="preserve">2015 OVPES Annual Meeting </w:t>
      </w:r>
    </w:p>
    <w:p w:rsidR="0078760B" w:rsidRDefault="00797872">
      <w:pPr>
        <w:pStyle w:val="Heading3"/>
        <w:keepNext w:val="0"/>
        <w:keepLines w:val="0"/>
        <w:contextualSpacing w:val="0"/>
        <w:jc w:val="center"/>
      </w:pPr>
      <w:bookmarkStart w:id="2" w:name="h.qzpacw307ktp" w:colFirst="0" w:colLast="0"/>
      <w:bookmarkEnd w:id="2"/>
      <w:r>
        <w:rPr>
          <w:rFonts w:ascii="Arial" w:eastAsia="Arial" w:hAnsi="Arial" w:cs="Arial"/>
          <w:i/>
          <w:sz w:val="22"/>
          <w:szCs w:val="22"/>
        </w:rPr>
        <w:t>Teaching as Labor, Learning as Work: Educational Ideals and the Factory of Knowledge</w:t>
      </w:r>
    </w:p>
    <w:p w:rsidR="0078760B" w:rsidRDefault="00797872">
      <w:pPr>
        <w:pStyle w:val="Heading3"/>
        <w:keepNext w:val="0"/>
        <w:keepLines w:val="0"/>
        <w:contextualSpacing w:val="0"/>
        <w:jc w:val="center"/>
      </w:pPr>
      <w:bookmarkStart w:id="3" w:name="h.fsim9yqfrf8d" w:colFirst="0" w:colLast="0"/>
      <w:bookmarkEnd w:id="3"/>
      <w:r>
        <w:rPr>
          <w:rFonts w:ascii="Arial" w:eastAsia="Arial" w:hAnsi="Arial" w:cs="Arial"/>
          <w:sz w:val="22"/>
          <w:szCs w:val="22"/>
        </w:rPr>
        <w:t xml:space="preserve">Bergamo </w:t>
      </w:r>
      <w:proofErr w:type="gramStart"/>
      <w:r>
        <w:rPr>
          <w:rFonts w:ascii="Arial" w:eastAsia="Arial" w:hAnsi="Arial" w:cs="Arial"/>
          <w:sz w:val="22"/>
          <w:szCs w:val="22"/>
        </w:rPr>
        <w:t>Center  |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 Dayton, Ohio  |  September 11-13, 2015</w:t>
      </w:r>
    </w:p>
    <w:p w:rsidR="0078760B" w:rsidRDefault="00797872">
      <w:pPr>
        <w:jc w:val="center"/>
      </w:pPr>
      <w:r>
        <w:rPr>
          <w:sz w:val="36"/>
          <w:szCs w:val="36"/>
        </w:rPr>
        <w:t>[Image]</w:t>
      </w:r>
    </w:p>
    <w:p w:rsidR="0078760B" w:rsidRDefault="0078760B"/>
    <w:p w:rsidR="0078760B" w:rsidRDefault="00797872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Friday, September 11</w:t>
      </w:r>
    </w:p>
    <w:p w:rsidR="0078760B" w:rsidRDefault="00797872">
      <w:r>
        <w:rPr>
          <w:rFonts w:ascii="Arial" w:eastAsia="Arial" w:hAnsi="Arial" w:cs="Arial"/>
          <w:b/>
          <w:sz w:val="22"/>
          <w:szCs w:val="22"/>
        </w:rPr>
        <w:t>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7:00 – 10:00 pm: Opening Reception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Reception: Wine/Beer, Deli Tray with Potato Salad, Salty Snacks and Conversation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9:30 – 10:00 pm: Yoga Nidra for Restful Sleep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  <w:highlight w:val="yellow"/>
        </w:rPr>
        <w:t>(TBA)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jc w:val="center"/>
      </w:pPr>
      <w:r>
        <w:rPr>
          <w:rFonts w:ascii="Arial" w:eastAsia="Arial" w:hAnsi="Arial" w:cs="Arial"/>
          <w:b/>
          <w:sz w:val="22"/>
          <w:szCs w:val="22"/>
        </w:rPr>
        <w:t>Saturday, September 12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7:00 – 7:30 am: Yoga Stretch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(Darby)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7:00 – 8:30 am: Breakfast</w:t>
      </w:r>
      <w:r>
        <w:rPr>
          <w:rFonts w:ascii="Arial" w:eastAsia="Arial" w:hAnsi="Arial" w:cs="Arial"/>
          <w:b/>
          <w:sz w:val="22"/>
          <w:szCs w:val="22"/>
        </w:rPr>
        <w:tab/>
        <w:t>(Dining Room)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8:30-9:45 am: Concurrent Sessions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Philosophical Contributions to Mindful Teaching</w:t>
      </w:r>
      <w:r>
        <w:rPr>
          <w:rFonts w:ascii="Arial" w:eastAsia="Arial" w:hAnsi="Arial" w:cs="Arial"/>
          <w:sz w:val="22"/>
          <w:szCs w:val="22"/>
        </w:rPr>
        <w:tab/>
        <w:t xml:space="preserve">   </w:t>
      </w:r>
      <w:r>
        <w:rPr>
          <w:rFonts w:ascii="Arial" w:eastAsia="Arial" w:hAnsi="Arial" w:cs="Arial"/>
          <w:b/>
          <w:sz w:val="22"/>
          <w:szCs w:val="22"/>
        </w:rPr>
        <w:t>(Chaminade)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Imperative of Trust: Trust In Students as a Foundational Teacher Value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Jonathan Taft Sallée (Lewis University)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Disclosure and Credibility in the Classroom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Thomas Priestley (Vanderbilt University Peabody College)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Presence and Soul in the Action of Educating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John Tim Leonard (St. Xavier University Chicago)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1B</w:t>
      </w:r>
      <w:r>
        <w:rPr>
          <w:rFonts w:ascii="Arial" w:eastAsia="Arial" w:hAnsi="Arial" w:cs="Arial"/>
          <w:b/>
          <w:sz w:val="22"/>
          <w:szCs w:val="22"/>
        </w:rPr>
        <w:tab/>
        <w:t xml:space="preserve">Title: Media, Creativity and Civic Education </w:t>
      </w:r>
      <w:r>
        <w:rPr>
          <w:rFonts w:ascii="Arial" w:eastAsia="Arial" w:hAnsi="Arial" w:cs="Arial"/>
          <w:sz w:val="22"/>
          <w:szCs w:val="22"/>
        </w:rPr>
        <w:tab/>
        <w:t xml:space="preserve">    </w:t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 xml:space="preserve">Philosophy of Teaching Creatively in The Water is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Wide</w:t>
      </w:r>
      <w:proofErr w:type="gramEnd"/>
      <w:r>
        <w:rPr>
          <w:rFonts w:ascii="Arial" w:eastAsia="Arial" w:hAnsi="Arial" w:cs="Arial"/>
          <w:i/>
          <w:sz w:val="22"/>
          <w:szCs w:val="22"/>
        </w:rPr>
        <w:t>: Reawakening Childhood Genius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 xml:space="preserve">Judi </w:t>
      </w:r>
      <w:proofErr w:type="gramStart"/>
      <w:r>
        <w:rPr>
          <w:rFonts w:ascii="Arial" w:eastAsia="Arial" w:hAnsi="Arial" w:cs="Arial"/>
          <w:sz w:val="22"/>
          <w:szCs w:val="22"/>
        </w:rPr>
        <w:t>Thorn(</w:t>
      </w:r>
      <w:proofErr w:type="gramEnd"/>
      <w:r>
        <w:rPr>
          <w:rFonts w:ascii="Arial" w:eastAsia="Arial" w:hAnsi="Arial" w:cs="Arial"/>
          <w:sz w:val="22"/>
          <w:szCs w:val="22"/>
        </w:rPr>
        <w:t>Oklahoma State University)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 xml:space="preserve">Assessing Critical Media Literacy 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Jamie E. Teeple (Ohio State University)</w:t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lastRenderedPageBreak/>
        <w:t xml:space="preserve">Winnicott’s Object Relations Theory Meets Deweyan Aesthetics: Toward a Philosophy of 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>School Librarianship 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Virginia Worley (Oklahoma State University)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and Hope: Affective Liquidity for Very Late Capitalism?</w:t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 xml:space="preserve">Chris Higgins (University of Illinois, Urbana-Champaign)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Katherine Jo (University of Illinois, Urbana-Champaign)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Kip Kline (Lewis University)</w:t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1D</w:t>
      </w:r>
      <w:r>
        <w:rPr>
          <w:rFonts w:ascii="Arial" w:eastAsia="Arial" w:hAnsi="Arial" w:cs="Arial"/>
          <w:b/>
          <w:sz w:val="22"/>
          <w:szCs w:val="22"/>
        </w:rPr>
        <w:tab/>
        <w:t>Framing Past and Future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(Darby)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Imaging the End of Everything: Popular Media Culture Scripts the Ecological End Game and the Coming Work of Mourning</w:t>
      </w:r>
      <w:r>
        <w:rPr>
          <w:rFonts w:ascii="Arial" w:eastAsia="Arial" w:hAnsi="Arial" w:cs="Arial"/>
          <w:i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Stacy Otto (Illinois State University</w:t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i/>
          <w:sz w:val="22"/>
          <w:szCs w:val="22"/>
        </w:rPr>
        <w:t>The Need for Roots Redux: On the Supposed Disciplinary Right to A Nonideal Theory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>Gabriel Keehn (Georgia State University)</w:t>
      </w:r>
    </w:p>
    <w:p w:rsidR="0078760B" w:rsidRDefault="0078760B">
      <w:pPr>
        <w:tabs>
          <w:tab w:val="left" w:pos="720"/>
          <w:tab w:val="right" w:pos="9360"/>
        </w:tabs>
        <w:ind w:left="1440" w:hanging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Work of the Prophetic Teacher in Democratizing Education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Jeffrey Dunn (Ohio State University)</w:t>
      </w:r>
    </w:p>
    <w:p w:rsidR="0078760B" w:rsidRDefault="00797872">
      <w:pPr>
        <w:tabs>
          <w:tab w:val="left" w:pos="720"/>
          <w:tab w:val="right" w:pos="9360"/>
        </w:tabs>
        <w:ind w:left="1440" w:hanging="720"/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9:45-10:00 am: Break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10:00 – 11:15 am: Concurrent Sessions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2A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Working under/within/through Neoliberal School Reform</w:t>
      </w:r>
      <w:r>
        <w:rPr>
          <w:rFonts w:ascii="Arial" w:eastAsia="Arial" w:hAnsi="Arial" w:cs="Arial"/>
          <w:b/>
          <w:sz w:val="22"/>
          <w:szCs w:val="22"/>
        </w:rPr>
        <w:tab/>
        <w:t xml:space="preserve">            (Chaminade)</w:t>
      </w:r>
    </w:p>
    <w:p w:rsidR="0078760B" w:rsidRDefault="00797872">
      <w:pPr>
        <w:tabs>
          <w:tab w:val="left" w:pos="720"/>
          <w:tab w:val="right" w:pos="9360"/>
        </w:tabs>
        <w:ind w:left="720" w:hanging="720"/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Employing Teachers for Social Justice: A Critique of Labor Practices within the Education Reform Movement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Sarah Stitzlein (University of Cincinnati)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Accountability and Poetry: A Philosophical Account of Standardized Testing and the Conception of Learning as "Work"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Brett Bertucio (University of Wisconsin-Madison)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Art and Art’s Shadow as Metaphors for Teaching and Teaching’s Shadow: A Perniolan Analysis of Teacher Stories about Teacher Dropout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Tamara Gershater Keane (Oklahoma State University)</w:t>
      </w:r>
    </w:p>
    <w:p w:rsidR="0078760B" w:rsidRDefault="0078760B">
      <w:pPr>
        <w:ind w:firstLine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2B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Topic: Corrupting Practices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 xml:space="preserve">(Barrett) </w:t>
      </w:r>
    </w:p>
    <w:p w:rsidR="0078760B" w:rsidRDefault="0078760B"/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Sex, Labor, and Schools: Sex Education and the Need for Alternative Sexual Pedagogies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lastRenderedPageBreak/>
        <w:t>Caitlin Howlett (Indiana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proofErr w:type="gramStart"/>
      <w:r>
        <w:rPr>
          <w:rFonts w:ascii="Arial" w:eastAsia="Arial" w:hAnsi="Arial" w:cs="Arial"/>
          <w:i/>
          <w:sz w:val="22"/>
          <w:szCs w:val="22"/>
        </w:rPr>
        <w:t>Should We Use Directive Methods for Teaching Controversial Issues?</w:t>
      </w:r>
      <w:proofErr w:type="gramEnd"/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Douglas Yacek (Ohio State University)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What is Wrong, Really, with Paying Students Cash for Academic Work?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Bryan Warnick (Ohio State University)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2C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Author Meets Critics: Craig Cunninham's Systems Theory for Pragmatic </w:t>
      </w:r>
    </w:p>
    <w:p w:rsidR="0078760B" w:rsidRDefault="00797872">
      <w:pPr>
        <w:ind w:left="720"/>
      </w:pPr>
      <w:r>
        <w:rPr>
          <w:rFonts w:ascii="Arial" w:eastAsia="Arial" w:hAnsi="Arial" w:cs="Arial"/>
          <w:b/>
          <w:sz w:val="22"/>
          <w:szCs w:val="22"/>
        </w:rPr>
        <w:t>Schooling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(Darby)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 xml:space="preserve">Craig Cunningham (National Louis University) 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Jane Blanken-Webb (University of Illinois at Urbana-Champaign)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Deron Boyles (Georgia State University)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Richard Quantz (Miami University)</w:t>
      </w:r>
    </w:p>
    <w:p w:rsidR="0078760B" w:rsidRDefault="0078760B">
      <w:pPr>
        <w:ind w:firstLine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Chair &amp; Moderator: Amy Shuffelton (Loyola University Chicago)</w:t>
      </w:r>
    </w:p>
    <w:p w:rsidR="0078760B" w:rsidRDefault="0078760B">
      <w:pPr>
        <w:ind w:firstLine="720"/>
      </w:pPr>
    </w:p>
    <w:p w:rsidR="0078760B" w:rsidRDefault="00797872">
      <w:pPr>
        <w:tabs>
          <w:tab w:val="left" w:pos="720"/>
          <w:tab w:val="right" w:pos="9360"/>
        </w:tabs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2D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Parental Involvement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/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Parental Labor and Public Schools: Now You See It, Now You Don’t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Amy Shuffelton (Loyola University Chicago)</w:t>
      </w:r>
    </w:p>
    <w:p w:rsidR="0078760B" w:rsidRDefault="0078760B">
      <w:pPr>
        <w:ind w:firstLine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Ethics of Conferring Parental Advantage: A Question of Parental Liberty versus Societal Equality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J. Kessa Roberts (Ohio State University)</w:t>
      </w:r>
    </w:p>
    <w:p w:rsidR="0078760B" w:rsidRDefault="0078760B">
      <w:pPr>
        <w:ind w:left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Organic Oppressors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Carl Templin (University of Toledo)</w:t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11:15 – 11:30 am: Break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11:30 – 12:45 am: Phil Smith Symposium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Introduction: Greg Loving (University of Cincinnati-Clermont College)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>Phil Smith Lecture:</w:t>
      </w:r>
      <w:r>
        <w:rPr>
          <w:rFonts w:ascii="Arial" w:eastAsia="Arial" w:hAnsi="Arial" w:cs="Arial"/>
          <w:i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  <w:highlight w:val="yellow"/>
        </w:rPr>
        <w:t>Title?</w:t>
      </w:r>
    </w:p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>Rudy Fichtenbaum (Wright State)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12:45-2:00 pm: Lunch </w:t>
      </w:r>
      <w:r>
        <w:rPr>
          <w:rFonts w:ascii="Arial" w:eastAsia="Arial" w:hAnsi="Arial" w:cs="Arial"/>
          <w:b/>
          <w:sz w:val="22"/>
          <w:szCs w:val="22"/>
        </w:rPr>
        <w:tab/>
        <w:t>(Dining Room)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r>
        <w:rPr>
          <w:rFonts w:ascii="Arial" w:eastAsia="Arial" w:hAnsi="Arial" w:cs="Arial"/>
          <w:b/>
          <w:sz w:val="22"/>
          <w:szCs w:val="22"/>
        </w:rPr>
        <w:t>2:00 – 3:15 pm: Concurrent Sessions</w:t>
      </w:r>
    </w:p>
    <w:p w:rsidR="0078760B" w:rsidRDefault="0078760B"/>
    <w:p w:rsidR="0078760B" w:rsidRDefault="00797872">
      <w:r>
        <w:rPr>
          <w:rFonts w:ascii="Arial" w:eastAsia="Arial" w:hAnsi="Arial" w:cs="Arial"/>
          <w:b/>
          <w:sz w:val="22"/>
          <w:szCs w:val="22"/>
        </w:rPr>
        <w:t>3A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Theorizing the Devaluing of Black Lives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(Darby)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"High Expectations" Discourse as an Epistemology of Oppression: Implications for Urban Education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Morgan D. Anderson (Georgia State University)</w:t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Interpellating dispossession: Distributions of vulnerability and the precarious mattering of lives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 xml:space="preserve">Lisa M. Perhamus (Grand Valley State University) 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Clarence W. Joldersma (Calvin College)</w:t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Classroom Caring as Labor: Casuistry, the Care Gap and Phronesis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Sheron Fraser-Burgess (Ball State University)</w:t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3B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Freedom and Democratic Education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Politics of Recitation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David I. Backer (Cleveland State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Education of the Polis, by the Polis: A Platonic Take on Democratic Education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Samantha Deane (Loyola University Chicago)</w:t>
      </w:r>
    </w:p>
    <w:p w:rsidR="0078760B" w:rsidRDefault="0078760B">
      <w:pPr>
        <w:ind w:left="720"/>
      </w:pPr>
    </w:p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i/>
          <w:sz w:val="22"/>
          <w:szCs w:val="22"/>
        </w:rPr>
        <w:t>A Labor of Love: Education as the practice of freedom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Katrina Dillon (University of New Mexico)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r>
        <w:rPr>
          <w:rFonts w:ascii="Arial" w:eastAsia="Arial" w:hAnsi="Arial" w:cs="Arial"/>
          <w:b/>
          <w:sz w:val="22"/>
          <w:szCs w:val="22"/>
        </w:rPr>
        <w:t>3C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Aesthetics in Service of Democratic Education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  (Bordeaux) 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A Deweyan Analysis of *Alice's Adventures in Wonderland: * Education as Aesthetic Experience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Matthew Pascucci (Oklahoma State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Broadening Multicultural Education from Existential Aesthetics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Shaobing Li (Miami University)</w:t>
      </w:r>
    </w:p>
    <w:p w:rsidR="0078760B" w:rsidRDefault="0078760B">
      <w:pPr>
        <w:ind w:firstLine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The Pedagogical Power of Myth: Cultivating the Human in a Bureaucratic World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Thomas Falk (University of Dayton)</w:t>
      </w:r>
    </w:p>
    <w:p w:rsidR="0078760B" w:rsidRDefault="0078760B"/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  <w:highlight w:val="yellow"/>
        </w:rPr>
        <w:t>Moderator: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8760B" w:rsidRDefault="0078760B"/>
    <w:p w:rsidR="0078760B" w:rsidRDefault="00797872">
      <w:r>
        <w:rPr>
          <w:rFonts w:ascii="Arial" w:eastAsia="Arial" w:hAnsi="Arial" w:cs="Arial"/>
          <w:b/>
          <w:sz w:val="22"/>
          <w:szCs w:val="22"/>
        </w:rPr>
        <w:t>3D</w:t>
      </w:r>
      <w:r>
        <w:rPr>
          <w:rFonts w:ascii="Arial" w:eastAsia="Arial" w:hAnsi="Arial" w:cs="Arial"/>
          <w:b/>
          <w:sz w:val="22"/>
          <w:szCs w:val="22"/>
        </w:rPr>
        <w:tab/>
        <w:t>Title: Theoretical Critiques of Educational Research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(Darby)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Revisiting ‘What Works’ in Education: Labors of Care within the Special Education Archive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Benjamin Kelsey Kearl (Indiana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Ethics of Critical Inquiry: Parrhesia as a Framework for Critical Inquiry for Qualitative Educational Research</w:t>
      </w:r>
      <w:r>
        <w:rPr>
          <w:rFonts w:ascii="Arial" w:eastAsia="Arial" w:hAnsi="Arial" w:cs="Arial"/>
          <w:i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  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David Roof (Ball State University)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Elena Polush (Ball State University)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Phil Boltz (Ball State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A Lack of Justification for Being Entitled and Knowledge: A Response to Caduri     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Justin Christopher (University of Iowa)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lastRenderedPageBreak/>
        <w:tab/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3:15 – 3:30 pm: Break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>3:30 – 4:45 pm: Concurrent Sessions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 </w:t>
      </w:r>
    </w:p>
    <w:p w:rsidR="0078760B" w:rsidRDefault="00797872">
      <w:r>
        <w:rPr>
          <w:rFonts w:ascii="Arial" w:eastAsia="Arial" w:hAnsi="Arial" w:cs="Arial"/>
          <w:b/>
          <w:sz w:val="22"/>
          <w:szCs w:val="22"/>
        </w:rPr>
        <w:t>4A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</w:t>
      </w:r>
      <w:r>
        <w:rPr>
          <w:rFonts w:ascii="Arial" w:eastAsia="Arial" w:hAnsi="Arial" w:cs="Arial"/>
          <w:b/>
          <w:sz w:val="22"/>
          <w:szCs w:val="22"/>
        </w:rPr>
        <w:tab/>
        <w:t>Education and Work in Late Capitalism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(Chaminade)</w:t>
      </w:r>
    </w:p>
    <w:p w:rsidR="0078760B" w:rsidRDefault="0078760B"/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U.S. Working-Class Intellectual: Education, 21st Century Grass-Roots Organizing, and The Development Of a (Re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)New</w:t>
      </w:r>
      <w:proofErr w:type="gramEnd"/>
      <w:r>
        <w:rPr>
          <w:rFonts w:ascii="Arial" w:eastAsia="Arial" w:hAnsi="Arial" w:cs="Arial"/>
          <w:i/>
          <w:sz w:val="22"/>
          <w:szCs w:val="22"/>
        </w:rPr>
        <w:t>(Ed) School of Thought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James Aucoin (Georgia State University)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The Corporate Assault on Schools:  Ethics, Academic Freedom, and Critical Policy Studies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Deron Boyles (Georgia State University)</w:t>
      </w:r>
    </w:p>
    <w:p w:rsidR="0078760B" w:rsidRDefault="0078760B">
      <w:pPr>
        <w:ind w:left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 xml:space="preserve">The Problem of Training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In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Industrial Affect for a Post-Industrial World</w:t>
      </w:r>
    </w:p>
    <w:p w:rsidR="0078760B" w:rsidRDefault="00797872">
      <w:pPr>
        <w:ind w:firstLine="720"/>
      </w:pPr>
      <w:r>
        <w:rPr>
          <w:rFonts w:ascii="Arial" w:eastAsia="Arial" w:hAnsi="Arial" w:cs="Arial"/>
          <w:sz w:val="22"/>
          <w:szCs w:val="22"/>
        </w:rPr>
        <w:t>Dan Reyes (Antioch University)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r>
        <w:rPr>
          <w:rFonts w:ascii="Arial" w:eastAsia="Arial" w:hAnsi="Arial" w:cs="Arial"/>
          <w:b/>
          <w:sz w:val="22"/>
          <w:szCs w:val="22"/>
        </w:rPr>
        <w:t>4B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Inclusion and Access to Educational Experiences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(Darby)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>Religion &amp; Spirituality, Secularization, Higher Education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Kelsey John (Syracuse University) 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Disability, Critical Pedagogy 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Laura </w:t>
      </w:r>
      <w:proofErr w:type="gramStart"/>
      <w:r>
        <w:rPr>
          <w:rFonts w:ascii="Arial" w:eastAsia="Arial" w:hAnsi="Arial" w:cs="Arial"/>
          <w:sz w:val="22"/>
          <w:szCs w:val="22"/>
        </w:rPr>
        <w:t>Jaffee  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Syracuse University) </w:t>
      </w:r>
    </w:p>
    <w:p w:rsidR="0078760B" w:rsidRDefault="0078760B">
      <w:pPr>
        <w:ind w:left="720"/>
      </w:pPr>
    </w:p>
    <w:p w:rsidR="0078760B" w:rsidRDefault="00797872">
      <w:pPr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Disciplinarity and Professionalism 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 xml:space="preserve">David Wolken (Syracuse University)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4C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as a Tragic Labor of Love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Brad Rowe (Monmouth College)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Jessica Heybach &amp; Andre Meeks (Aurora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Eric Sheffield (Missouri State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Leanne Sunderman (Tolles Career and Technical Center)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ind w:left="720" w:hanging="720"/>
      </w:pPr>
      <w:r>
        <w:rPr>
          <w:rFonts w:ascii="Arial" w:eastAsia="Arial" w:hAnsi="Arial" w:cs="Arial"/>
          <w:b/>
          <w:sz w:val="22"/>
          <w:szCs w:val="22"/>
        </w:rPr>
        <w:t>4D</w:t>
      </w:r>
      <w:r>
        <w:rPr>
          <w:rFonts w:ascii="Arial" w:eastAsia="Arial" w:hAnsi="Arial" w:cs="Arial"/>
          <w:b/>
          <w:sz w:val="22"/>
          <w:szCs w:val="22"/>
        </w:rPr>
        <w:tab/>
        <w:t>Title: Ethics in Teaching and Society</w:t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>(Bordeaux)</w:t>
      </w:r>
    </w:p>
    <w:p w:rsidR="0078760B" w:rsidRDefault="0078760B">
      <w:pPr>
        <w:ind w:firstLine="720"/>
      </w:pPr>
    </w:p>
    <w:p w:rsidR="0078760B" w:rsidRDefault="00797872">
      <w:pPr>
        <w:ind w:firstLine="720"/>
      </w:pPr>
      <w:r>
        <w:rPr>
          <w:rFonts w:ascii="Arial" w:eastAsia="Arial" w:hAnsi="Arial" w:cs="Arial"/>
          <w:i/>
          <w:sz w:val="22"/>
          <w:szCs w:val="22"/>
        </w:rPr>
        <w:t>Learning to Rest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Katherine Jo (University of Illinois Urbana-Champaign)</w:t>
      </w:r>
    </w:p>
    <w:p w:rsidR="0078760B" w:rsidRDefault="0078760B">
      <w:pPr>
        <w:ind w:firstLine="720"/>
      </w:pPr>
    </w:p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i/>
          <w:sz w:val="22"/>
          <w:szCs w:val="22"/>
        </w:rPr>
        <w:t>Dissolving the Paradox of Moral Education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Yoshiaki Nakazawa (Teachers College Columbia)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 xml:space="preserve">Democracy and Social Ethics Reconsidered </w:t>
      </w: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>Bertram C. Bruce (University of Illinois)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  <w:highlight w:val="yellow"/>
        </w:rPr>
        <w:tab/>
      </w:r>
      <w:proofErr w:type="gramStart"/>
      <w:r>
        <w:rPr>
          <w:rFonts w:ascii="Arial" w:eastAsia="Arial" w:hAnsi="Arial" w:cs="Arial"/>
          <w:sz w:val="22"/>
          <w:szCs w:val="22"/>
          <w:highlight w:val="yellow"/>
        </w:rPr>
        <w:t>Moderator:</w:t>
      </w:r>
      <w:proofErr w:type="gramEnd"/>
      <w:r>
        <w:rPr>
          <w:rFonts w:ascii="Arial" w:eastAsia="Arial" w:hAnsi="Arial" w:cs="Arial"/>
          <w:sz w:val="22"/>
          <w:szCs w:val="22"/>
          <w:highlight w:val="yellow"/>
        </w:rPr>
        <w:t>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4:45 – 5:00 pm: Break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5:00 – 6:15 pm: Presidential Address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i/>
          <w:sz w:val="22"/>
          <w:szCs w:val="22"/>
        </w:rPr>
        <w:t>From Elitism to Populism: A Foucauldian Tragedy of Jell-O, Cell Phones and Higher Education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Greg Loving (University of Cincinnati-Claremont College</w:t>
      </w:r>
      <w:proofErr w:type="gramStart"/>
      <w:r>
        <w:rPr>
          <w:rFonts w:ascii="Arial" w:eastAsia="Arial" w:hAnsi="Arial" w:cs="Arial"/>
          <w:sz w:val="22"/>
          <w:szCs w:val="22"/>
        </w:rPr>
        <w:t>, )</w:t>
      </w:r>
      <w:proofErr w:type="gramEnd"/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Respondent:  Sheron Fraser-Burgess (Ball State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</w:t>
      </w: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6:30 – 8:30 pm: Dinner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(Dining Room)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>This year, guests have the option to dine on sight (pre-registration/additional fee</w:t>
      </w:r>
      <w:proofErr w:type="gramStart"/>
      <w:r>
        <w:rPr>
          <w:rFonts w:ascii="Arial" w:eastAsia="Arial" w:hAnsi="Arial" w:cs="Arial"/>
          <w:sz w:val="22"/>
          <w:szCs w:val="22"/>
        </w:rPr>
        <w:t>) .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Carpools for dining out meet in the lobby at 6:25.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8:30 – 10:30 pm: Social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(Dining Room)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Drinks, Dessert, and Lively Conversation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  <w:jc w:val="center"/>
      </w:pPr>
      <w:r>
        <w:rPr>
          <w:rFonts w:ascii="Arial" w:eastAsia="Arial" w:hAnsi="Arial" w:cs="Arial"/>
          <w:b/>
          <w:sz w:val="22"/>
          <w:szCs w:val="22"/>
        </w:rPr>
        <w:t>Sunday, September 13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8:00 – 9:00 am: Breakfast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(Dining Room)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9:00 – 10:15 am: Concurrent Sessions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5A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Baudrillard, Black Mirror, and the Limits of Critical Media Literacy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Kip Kline (Lewis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Michael Bulfin (Lewis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Kevin Beirne (Lewis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Discussant &amp; Moderator: Jessica Heybach (Aurora University)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5B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Panel: Education for Meaningful Work</w:t>
      </w:r>
      <w:r>
        <w:rPr>
          <w:rFonts w:ascii="Arial" w:eastAsia="Arial" w:hAnsi="Arial" w:cs="Arial"/>
          <w:sz w:val="22"/>
          <w:szCs w:val="22"/>
        </w:rPr>
        <w:tab/>
        <w:t xml:space="preserve">  </w:t>
      </w:r>
      <w:r>
        <w:rPr>
          <w:rFonts w:ascii="Arial" w:eastAsia="Arial" w:hAnsi="Arial" w:cs="Arial"/>
          <w:b/>
          <w:sz w:val="22"/>
          <w:szCs w:val="22"/>
        </w:rPr>
        <w:t>(Chaminade)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Kevin Gary (Valparaiso University)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 xml:space="preserve">Mark </w:t>
      </w:r>
      <w:proofErr w:type="gramStart"/>
      <w:r>
        <w:rPr>
          <w:rFonts w:ascii="Arial" w:eastAsia="Arial" w:hAnsi="Arial" w:cs="Arial"/>
          <w:sz w:val="22"/>
          <w:szCs w:val="22"/>
        </w:rPr>
        <w:t>Jonas(</w:t>
      </w:r>
      <w:proofErr w:type="gramEnd"/>
      <w:r>
        <w:rPr>
          <w:rFonts w:ascii="Arial" w:eastAsia="Arial" w:hAnsi="Arial" w:cs="Arial"/>
          <w:sz w:val="22"/>
          <w:szCs w:val="22"/>
        </w:rPr>
        <w:t xml:space="preserve">Wheaton College)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ab/>
        <w:t>Alven Neiman (Independent Scholar)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lastRenderedPageBreak/>
        <w:t>5C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Title: New Questions on Equality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(Barrett)</w:t>
      </w:r>
    </w:p>
    <w:p w:rsidR="0078760B" w:rsidRDefault="0078760B"/>
    <w:p w:rsidR="0078760B" w:rsidRDefault="00797872">
      <w:pPr>
        <w:ind w:left="720"/>
      </w:pPr>
      <w:proofErr w:type="gramStart"/>
      <w:r>
        <w:rPr>
          <w:rFonts w:ascii="Arial" w:eastAsia="Arial" w:hAnsi="Arial" w:cs="Arial"/>
          <w:i/>
          <w:sz w:val="22"/>
          <w:szCs w:val="22"/>
        </w:rPr>
        <w:t>Equality of What in Democratic Education?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A Senian Alternative to Gutmann’s Democratic Interpretation of Educational Equality</w:t>
      </w:r>
    </w:p>
    <w:p w:rsidR="0078760B" w:rsidRDefault="00797872">
      <w:pPr>
        <w:ind w:left="720"/>
      </w:pPr>
      <w:r>
        <w:rPr>
          <w:rFonts w:ascii="Arial" w:eastAsia="Arial" w:hAnsi="Arial" w:cs="Arial"/>
          <w:sz w:val="22"/>
          <w:szCs w:val="22"/>
        </w:rPr>
        <w:t>Tony DeCesare (St. Louis University)</w:t>
      </w:r>
    </w:p>
    <w:p w:rsidR="0078760B" w:rsidRDefault="0078760B">
      <w:pPr>
        <w:ind w:left="720"/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color w:val="FF0000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>Dropout Factories:  The Profitability of "At-Risk" Students</w:t>
      </w:r>
    </w:p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>Nicolas Eastman (Georgia State University)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  <w:ind w:left="720"/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i/>
          <w:sz w:val="22"/>
          <w:szCs w:val="22"/>
        </w:rPr>
        <w:t xml:space="preserve">A philosophical analysis of Western Feminism and Islamic Feminism: </w:t>
      </w:r>
      <w:proofErr w:type="gramStart"/>
      <w:r>
        <w:rPr>
          <w:rFonts w:ascii="Arial" w:eastAsia="Arial" w:hAnsi="Arial" w:cs="Arial"/>
          <w:i/>
          <w:sz w:val="22"/>
          <w:szCs w:val="22"/>
        </w:rPr>
        <w:t>A  scholarly</w:t>
      </w:r>
      <w:proofErr w:type="gramEnd"/>
      <w:r>
        <w:rPr>
          <w:rFonts w:ascii="Arial" w:eastAsia="Arial" w:hAnsi="Arial" w:cs="Arial"/>
          <w:i/>
          <w:sz w:val="22"/>
          <w:szCs w:val="22"/>
        </w:rPr>
        <w:t xml:space="preserve"> “Tug of War.”</w:t>
      </w:r>
    </w:p>
    <w:p w:rsidR="0078760B" w:rsidRDefault="00797872">
      <w:pPr>
        <w:tabs>
          <w:tab w:val="left" w:pos="720"/>
          <w:tab w:val="right" w:pos="9360"/>
        </w:tabs>
        <w:ind w:firstLine="720"/>
      </w:pPr>
      <w:r>
        <w:rPr>
          <w:rFonts w:ascii="Arial" w:eastAsia="Arial" w:hAnsi="Arial" w:cs="Arial"/>
          <w:sz w:val="22"/>
          <w:szCs w:val="22"/>
        </w:rPr>
        <w:t>Tasneem Amatullah (Miami University)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  <w:highlight w:val="yellow"/>
        </w:rPr>
        <w:tab/>
      </w:r>
      <w:r>
        <w:rPr>
          <w:rFonts w:ascii="Arial" w:eastAsia="Arial" w:hAnsi="Arial" w:cs="Arial"/>
          <w:sz w:val="22"/>
          <w:szCs w:val="22"/>
          <w:highlight w:val="yellow"/>
        </w:rPr>
        <w:t xml:space="preserve">Moderator: </w:t>
      </w: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 xml:space="preserve">10:15 – 10:45 am: </w:t>
      </w:r>
      <w:r>
        <w:rPr>
          <w:rFonts w:ascii="Arial" w:eastAsia="Arial" w:hAnsi="Arial" w:cs="Arial"/>
          <w:b/>
          <w:sz w:val="22"/>
          <w:szCs w:val="22"/>
        </w:rPr>
        <w:t>Break and Room Check-Out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 xml:space="preserve">10:45 – 12:00 pm: </w:t>
      </w:r>
      <w:r>
        <w:rPr>
          <w:rFonts w:ascii="Arial" w:eastAsia="Arial" w:hAnsi="Arial" w:cs="Arial"/>
          <w:b/>
          <w:sz w:val="22"/>
          <w:szCs w:val="22"/>
        </w:rPr>
        <w:t>Plenary Session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 xml:space="preserve">Work and Labor in Democracy and Education </w:t>
      </w:r>
      <w:proofErr w:type="gramStart"/>
      <w:r>
        <w:rPr>
          <w:rFonts w:ascii="Arial" w:eastAsia="Arial" w:hAnsi="Arial" w:cs="Arial"/>
          <w:b/>
          <w:sz w:val="22"/>
          <w:szCs w:val="22"/>
        </w:rPr>
        <w:t>The</w:t>
      </w:r>
      <w:proofErr w:type="gramEnd"/>
      <w:r>
        <w:rPr>
          <w:rFonts w:ascii="Arial" w:eastAsia="Arial" w:hAnsi="Arial" w:cs="Arial"/>
          <w:b/>
          <w:sz w:val="22"/>
          <w:szCs w:val="22"/>
        </w:rPr>
        <w:t xml:space="preserve"> John Dewey Society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>The Centrality of Habits in Dewey’s Democracy and Education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Lance Mason (Indiana University Kokomo)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Negative and Positive Freedom in Education: Berlin and Dewey on Freedom in Teacher and Student Work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Dan Mamlok (Miami University)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i/>
          <w:sz w:val="22"/>
          <w:szCs w:val="22"/>
        </w:rPr>
        <w:t xml:space="preserve">Dewey on Educating Vocation: Bringing Adult Learning to the University </w:t>
      </w: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Mark Keitges (University of Illinois at Urbana-Champaign)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Chair &amp; Moderator: Sarah Stitzlein (University of Cincinnati)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12:15 – 1:30 pm: Business Meeting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>(Bordeaux)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___________________________________________________________________________________</w:t>
      </w:r>
    </w:p>
    <w:p w:rsidR="0078760B" w:rsidRDefault="0078760B"/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sz w:val="22"/>
          <w:szCs w:val="22"/>
        </w:rPr>
        <w:t>1:30 pm: Annual Meeting Adjourned</w:t>
      </w:r>
    </w:p>
    <w:p w:rsidR="0078760B" w:rsidRDefault="0078760B"/>
    <w:p w:rsidR="0078760B" w:rsidRDefault="0078760B">
      <w:pPr>
        <w:tabs>
          <w:tab w:val="left" w:pos="720"/>
          <w:tab w:val="right" w:pos="9360"/>
        </w:tabs>
      </w:pPr>
    </w:p>
    <w:p w:rsidR="0078760B" w:rsidRDefault="0078760B">
      <w:pPr>
        <w:tabs>
          <w:tab w:val="left" w:pos="720"/>
          <w:tab w:val="right" w:pos="9360"/>
        </w:tabs>
        <w:ind w:left="720"/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Current Officers: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 Greg Loving, University of Cincinnati, Clermont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President Elect Stacy Otto, Illinois State University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Immediate Past President Bryan Warnick, Ohio State University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Secretary-Treasurer Jessica Heybach, Aurora University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Executive Committee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Mark Jonas, Wheaton College [’18]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Jennifer Logue, Southern Illinois University-Edwardsville [’18]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Eric Sheffield, Missouri State University [’17]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2015 Conference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Program Chair Andrea Hyde, Western Illinois University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Site Coordinator Adrienne Johnson, University of Illinois, Champaign-Urbana</w:t>
      </w:r>
    </w:p>
    <w:p w:rsidR="0078760B" w:rsidRDefault="0078760B">
      <w:pPr>
        <w:tabs>
          <w:tab w:val="left" w:pos="720"/>
          <w:tab w:val="right" w:pos="9360"/>
        </w:tabs>
      </w:pPr>
    </w:p>
    <w:p w:rsidR="0078760B" w:rsidRDefault="00797872">
      <w:pPr>
        <w:tabs>
          <w:tab w:val="left" w:pos="720"/>
          <w:tab w:val="right" w:pos="9360"/>
        </w:tabs>
      </w:pPr>
      <w:r>
        <w:rPr>
          <w:rFonts w:ascii="Arial" w:eastAsia="Arial" w:hAnsi="Arial" w:cs="Arial"/>
          <w:b/>
          <w:sz w:val="22"/>
          <w:szCs w:val="22"/>
        </w:rPr>
        <w:t>2015 Program Committee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Angela Hurley, Transylvania University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Bradley Rowe, Monmouth College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Eric Sheffield, Missouri State University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Jim LaPrad, Western Illinois University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Seth Knappen, Black Hawk College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Amy Shuffelton, Loyola University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Julie Nagashima, University of Pittsburgh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Douglas Yacek, Ohio State University </w:t>
      </w:r>
    </w:p>
    <w:p w:rsidR="0078760B" w:rsidRDefault="00797872">
      <w:pPr>
        <w:numPr>
          <w:ilvl w:val="0"/>
          <w:numId w:val="1"/>
        </w:numPr>
        <w:tabs>
          <w:tab w:val="left" w:pos="720"/>
          <w:tab w:val="right" w:pos="9360"/>
        </w:tabs>
        <w:ind w:hanging="360"/>
        <w:contextualSpacing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Shaka Rawls, Purdue University </w:t>
      </w:r>
    </w:p>
    <w:p w:rsidR="0078760B" w:rsidRDefault="0078760B">
      <w:pPr>
        <w:tabs>
          <w:tab w:val="left" w:pos="720"/>
          <w:tab w:val="right" w:pos="9360"/>
        </w:tabs>
        <w:ind w:left="720"/>
      </w:pPr>
    </w:p>
    <w:sectPr w:rsidR="0078760B">
      <w:pgSz w:w="12240" w:h="15840"/>
      <w:pgMar w:top="1267" w:right="720" w:bottom="80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52D7D"/>
    <w:multiLevelType w:val="multilevel"/>
    <w:tmpl w:val="A23082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8760B"/>
    <w:rsid w:val="003D561C"/>
    <w:rsid w:val="0078760B"/>
    <w:rsid w:val="007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1851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Vivirito</dc:creator>
  <cp:lastModifiedBy>Jessica Vivirito</cp:lastModifiedBy>
  <cp:revision>2</cp:revision>
  <dcterms:created xsi:type="dcterms:W3CDTF">2015-08-26T23:21:00Z</dcterms:created>
  <dcterms:modified xsi:type="dcterms:W3CDTF">2015-08-26T23:21:00Z</dcterms:modified>
</cp:coreProperties>
</file>